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4" w:rsidRPr="005E1D34" w:rsidRDefault="005E1D34" w:rsidP="005E1D3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E1D34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5E1D34" w:rsidRPr="005E1D34" w:rsidRDefault="005E1D34" w:rsidP="005E1D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E1D34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987经济学原理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一、作为资源配置的市场经济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二、市场供给和需求理论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三、价格机制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四、弹性理论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五、供求理论的应用及其市场效率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六、规模经济、范围经济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七、成本理论与利润最大化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八、市场竞争机制与垄断问题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九、生产要素价格决定与分配理论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十、社会收入分配与分配政策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十一、福利经济学与社会保障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十二、市场失灵与政府参与经济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十三、公共产品理论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十四、国民收入核算与国民收入决定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十五、产品市场与货币市场均衡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十六、失业、通货膨胀理论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十七、宏观经济政策与政府宏观调控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 xml:space="preserve">十八、政府和市场关系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十九、货币与汇率 </w:t>
      </w:r>
    </w:p>
    <w:p w:rsidR="005E1D34" w:rsidRPr="005E1D34" w:rsidRDefault="005E1D34" w:rsidP="005E1D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D34">
        <w:rPr>
          <w:rFonts w:ascii="宋体" w:eastAsia="宋体" w:hAnsi="宋体" w:cs="宋体"/>
          <w:kern w:val="0"/>
          <w:sz w:val="24"/>
          <w:szCs w:val="24"/>
        </w:rPr>
        <w:t>二十、国际经济与进出口贸易</w:t>
      </w:r>
    </w:p>
    <w:p w:rsidR="007E32D8" w:rsidRDefault="007E32D8">
      <w:bookmarkStart w:id="0" w:name="_GoBack"/>
      <w:bookmarkEnd w:id="0"/>
    </w:p>
    <w:sectPr w:rsidR="007E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A9"/>
    <w:rsid w:val="002C31A9"/>
    <w:rsid w:val="005E1D34"/>
    <w:rsid w:val="007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1D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E1D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1D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E1D34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1D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E1D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1D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E1D3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2016-09-24T03:26:00Z</dcterms:created>
  <dcterms:modified xsi:type="dcterms:W3CDTF">2016-09-24T03:26:00Z</dcterms:modified>
</cp:coreProperties>
</file>